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2026 Budget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Tax Levy </w:t>
        <w:tab/>
        <w:t xml:space="preserve">84,645.00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Proposed Budget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Salaries</w:t>
        <w:tab/>
        <w:t xml:space="preserve">49,974.60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Insurance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STLS</w:t>
        <w:tab/>
        <w:tab/>
        <w:t xml:space="preserve">3,620.00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Books</w:t>
        <w:tab/>
        <w:tab/>
        <w:t xml:space="preserve">6,500.00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Utilities</w:t>
        <w:tab/>
        <w:tab/>
        <w:t xml:space="preserve">9,500.00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Office</w:t>
        <w:tab/>
        <w:tab/>
        <w:t xml:space="preserve">2,800.00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Programs</w:t>
        <w:tab/>
        <w:t xml:space="preserve">2,200.00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Misc.</w:t>
        <w:tab/>
        <w:tab/>
        <w:t xml:space="preserve">2,650.00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Loans</w:t>
        <w:tab/>
        <w:tab/>
        <w:t xml:space="preserve">12,000.00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Total</w:t>
        <w:tab/>
        <w:tab/>
        <w:t xml:space="preserve">90,744.00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Actual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1st Quarter (Jan-March)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Income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WCCS </w:t>
        <w:tab/>
        <w:t xml:space="preserve">72,645.00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Aid</w:t>
        <w:tab/>
        <w:tab/>
        <w:t xml:space="preserve">2,159.24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Gifts</w:t>
        <w:tab/>
        <w:tab/>
        <w:t xml:space="preserve">5,052.80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Misc.</w:t>
        <w:tab/>
        <w:tab/>
        <w:t xml:space="preserve">169.91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Transfer</w:t>
        <w:tab/>
        <w:t xml:space="preserve">12,000.00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Total </w:t>
        <w:tab/>
        <w:tab/>
        <w:t xml:space="preserve">92,026.95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Expenses </w:t>
        <w:tab/>
        <w:t xml:space="preserve">(Jan-March)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1st Quarter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Salaries</w:t>
        <w:tab/>
        <w:t xml:space="preserve">11,758.95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Insurance</w:t>
        <w:tab/>
        <w:t xml:space="preserve">1,490.86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STLS</w:t>
        <w:tab/>
        <w:tab/>
        <w:t xml:space="preserve">3,809.23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Books</w:t>
        <w:tab/>
        <w:tab/>
        <w:t xml:space="preserve">1673.71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Utilities</w:t>
        <w:tab/>
        <w:tab/>
        <w:t xml:space="preserve">3,253.34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Office</w:t>
        <w:tab/>
        <w:tab/>
        <w:t xml:space="preserve">317.94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Programs</w:t>
        <w:tab/>
        <w:t xml:space="preserve">111.39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Misc.</w:t>
        <w:tab/>
        <w:tab/>
        <w:t xml:space="preserve">439.03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Total</w:t>
        <w:tab/>
        <w:tab/>
        <w:t xml:space="preserve">22,854.45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